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6" w:rsidRPr="00156A06" w:rsidRDefault="00156A06" w:rsidP="00156A06">
      <w:pPr>
        <w:spacing w:before="100" w:beforeAutospacing="1" w:after="100" w:afterAutospacing="1"/>
        <w:ind w:firstLine="0"/>
        <w:outlineLvl w:val="1"/>
        <w:rPr>
          <w:rFonts w:eastAsia="Times New Roman"/>
          <w:b/>
          <w:bCs/>
          <w:kern w:val="36"/>
          <w:sz w:val="48"/>
          <w:szCs w:val="48"/>
        </w:rPr>
      </w:pPr>
      <w:r w:rsidRPr="00156A06">
        <w:rPr>
          <w:rFonts w:eastAsia="Times New Roman"/>
          <w:b/>
          <w:bCs/>
          <w:kern w:val="36"/>
          <w:sz w:val="48"/>
          <w:szCs w:val="48"/>
        </w:rPr>
        <w:t>Об использовании кассового оборудования</w:t>
      </w:r>
    </w:p>
    <w:p w:rsidR="00156A06" w:rsidRPr="00156A06" w:rsidRDefault="00156A06" w:rsidP="00A63F75">
      <w:pPr>
        <w:spacing w:before="100" w:beforeAutospacing="1" w:after="100" w:afterAutospacing="1"/>
        <w:ind w:firstLine="708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с 10 октября 2021 г. возникла обязанность применения кассового оборудования при:</w:t>
      </w:r>
    </w:p>
    <w:p w:rsidR="00156A06" w:rsidRPr="00156A06" w:rsidRDefault="00156A06" w:rsidP="00156A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>торговле непродовольственными товарами на ярмарках, на торговых местах на рынках;</w:t>
      </w:r>
    </w:p>
    <w:p w:rsidR="00156A06" w:rsidRPr="00156A06" w:rsidRDefault="00156A06" w:rsidP="00156A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>осуществлении разносной торговли плодоовощной продукцией;</w:t>
      </w:r>
    </w:p>
    <w:p w:rsidR="00156A06" w:rsidRPr="00156A06" w:rsidRDefault="00156A06" w:rsidP="00156A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 xml:space="preserve">выполнении работ, оказании услуг вне постоянного места осуществления деятельности (за исключением территории сельской местности); </w:t>
      </w:r>
    </w:p>
    <w:p w:rsidR="00156A06" w:rsidRPr="00156A06" w:rsidRDefault="00156A06" w:rsidP="00156A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>осуществлении обучения несовершеннолетних;</w:t>
      </w:r>
    </w:p>
    <w:p w:rsidR="00156A06" w:rsidRPr="00156A06" w:rsidRDefault="00156A06" w:rsidP="00156A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A63F75" w:rsidRPr="007162DA" w:rsidRDefault="00156A06" w:rsidP="00156A06">
      <w:pPr>
        <w:rPr>
          <w:i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 xml:space="preserve">В связи с обращениями субъектов хозяйствования, в целях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полагаем возможным принимать указанными субъектами хозяйствования, с которыми РУП «Информационно-издательский центр по налогам и сборам» (далее – РУП ИИЦ) не позднее 20.10.2021 заключены гражданско-правовые договоры на регистрацию и информационное обслуживание кассового оборудования в системе контроля кассового оборудования (далее – СККО) и не обеспечена возможность подключения к СККО, наличные денежные средства при </w:t>
      </w:r>
      <w:r w:rsidRPr="00156A06">
        <w:rPr>
          <w:sz w:val="28"/>
          <w:szCs w:val="28"/>
        </w:rPr>
        <w:t xml:space="preserve">продаже товаров, выполнении работ, оказании услуг без применения кассового оборудования до 1 июля 2022г. </w:t>
      </w:r>
      <w:r w:rsidRPr="00156A06">
        <w:rPr>
          <w:sz w:val="28"/>
          <w:szCs w:val="28"/>
        </w:rPr>
        <w:br/>
      </w:r>
      <w:r w:rsidR="00A63F75">
        <w:rPr>
          <w:rStyle w:val="a4"/>
          <w:rFonts w:eastAsia="Calibri"/>
        </w:rPr>
        <w:t xml:space="preserve"> </w:t>
      </w:r>
      <w:r w:rsidR="00A63F75">
        <w:rPr>
          <w:rStyle w:val="a4"/>
          <w:rFonts w:eastAsia="Calibri"/>
        </w:rPr>
        <w:tab/>
      </w:r>
      <w:r w:rsidRPr="007162DA">
        <w:rPr>
          <w:rStyle w:val="a4"/>
          <w:rFonts w:eastAsia="Calibri"/>
          <w:i/>
          <w:sz w:val="28"/>
          <w:szCs w:val="28"/>
        </w:rPr>
        <w:t>Справочно. Ранее письмом МНС от 06.10.2021 № 8-2-12/02195 указанный срок был установлен до 1 февраля 2022 г.</w:t>
      </w:r>
      <w:r w:rsidRPr="007162DA">
        <w:rPr>
          <w:i/>
          <w:sz w:val="28"/>
          <w:szCs w:val="28"/>
        </w:rPr>
        <w:t xml:space="preserve"> </w:t>
      </w:r>
    </w:p>
    <w:p w:rsidR="00A63F75" w:rsidRDefault="00156A06" w:rsidP="00A63F75">
      <w:pPr>
        <w:ind w:firstLine="708"/>
        <w:rPr>
          <w:rFonts w:eastAsia="Times New Roman"/>
          <w:sz w:val="28"/>
          <w:szCs w:val="28"/>
        </w:rPr>
      </w:pPr>
      <w:r w:rsidRPr="00156A06">
        <w:rPr>
          <w:sz w:val="28"/>
          <w:szCs w:val="28"/>
        </w:rPr>
        <w:t>Одновременно обращаем внимание, что в соответствии с постановлением Совета Министров Республики Беларусь, Национального банка Республики Беларусь от 15.11.2021 № 647/11 «Об изменении постановления Совета Министров Республики Беларусь и Национального банка Республики Беларусь от 6 июля 2011 г. № 924/16» с 18 мая 2022 г. у субъектов хозяйствования возникает обязанность использования кассовог</w:t>
      </w:r>
      <w:r w:rsidRPr="00156A06">
        <w:rPr>
          <w:rFonts w:eastAsia="Times New Roman"/>
          <w:sz w:val="28"/>
          <w:szCs w:val="28"/>
        </w:rPr>
        <w:t>о оборудования при осуществлении розничной торговли продовольственными товарами, в том числе сельскохозяйственной пр</w:t>
      </w:r>
      <w:r>
        <w:rPr>
          <w:rFonts w:eastAsia="Times New Roman"/>
          <w:sz w:val="28"/>
          <w:szCs w:val="28"/>
        </w:rPr>
        <w:t>одукцией, на ярмарках, торговых</w:t>
      </w:r>
      <w:r w:rsidR="00A63F75">
        <w:rPr>
          <w:rFonts w:eastAsia="Times New Roman"/>
          <w:sz w:val="28"/>
          <w:szCs w:val="28"/>
        </w:rPr>
        <w:t xml:space="preserve"> </w:t>
      </w:r>
      <w:r w:rsidRPr="00156A06">
        <w:rPr>
          <w:rFonts w:eastAsia="Times New Roman"/>
          <w:sz w:val="28"/>
          <w:szCs w:val="28"/>
        </w:rPr>
        <w:t>местах.</w:t>
      </w:r>
    </w:p>
    <w:p w:rsidR="00A63F75" w:rsidRDefault="00156A06" w:rsidP="00A63F75">
      <w:pPr>
        <w:ind w:firstLine="708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 xml:space="preserve">Учитывая изложенное, при условии заключения </w:t>
      </w:r>
      <w:r w:rsidRPr="00156A06">
        <w:rPr>
          <w:rFonts w:eastAsia="Times New Roman"/>
          <w:b/>
          <w:bCs/>
          <w:sz w:val="28"/>
          <w:szCs w:val="28"/>
        </w:rPr>
        <w:t>до 18 мая 2022 г.</w:t>
      </w:r>
      <w:r w:rsidRPr="00156A06">
        <w:rPr>
          <w:rFonts w:eastAsia="Times New Roman"/>
          <w:sz w:val="28"/>
          <w:szCs w:val="28"/>
        </w:rPr>
        <w:t xml:space="preserve"> договора с РУП ИИЦ на регистрацию и информационное обслуживание кассового оборудования в СККО, в том числе подачи заявок на подключение </w:t>
      </w:r>
      <w:r w:rsidRPr="00156A06">
        <w:rPr>
          <w:rFonts w:eastAsia="Times New Roman"/>
          <w:sz w:val="28"/>
          <w:szCs w:val="28"/>
        </w:rPr>
        <w:lastRenderedPageBreak/>
        <w:t xml:space="preserve">конкретных единиц кассового оборудования к СККО, субъекты хозяйствования, осуществляющие розничную торговлю продовольственными товарами, в том числе сельскохозяйственной продукцией, на ярмарках, торговых местах, вправе принимать наличные денежные средства при продаже товаров без применения кассового оборудования также </w:t>
      </w:r>
      <w:r w:rsidRPr="00156A06">
        <w:rPr>
          <w:rFonts w:eastAsia="Times New Roman"/>
          <w:b/>
          <w:bCs/>
          <w:sz w:val="28"/>
          <w:szCs w:val="28"/>
        </w:rPr>
        <w:t>до 1 июля 2022 г.</w:t>
      </w:r>
      <w:r w:rsidRPr="00156A06">
        <w:rPr>
          <w:rFonts w:eastAsia="Times New Roman"/>
          <w:sz w:val="28"/>
          <w:szCs w:val="28"/>
        </w:rPr>
        <w:t xml:space="preserve"> </w:t>
      </w:r>
    </w:p>
    <w:p w:rsidR="00A63F75" w:rsidRDefault="00156A06" w:rsidP="00A63F75">
      <w:pPr>
        <w:ind w:firstLine="708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>При этом указанным субъектам хозяйствования необходимо предварительно принять меры по приобретению кассового оборудования.</w:t>
      </w:r>
    </w:p>
    <w:p w:rsidR="007162DA" w:rsidRDefault="00156A06" w:rsidP="007162DA">
      <w:pPr>
        <w:ind w:firstLine="708"/>
      </w:pPr>
      <w:r w:rsidRPr="00156A06">
        <w:rPr>
          <w:rFonts w:eastAsia="Times New Roman"/>
          <w:sz w:val="28"/>
          <w:szCs w:val="28"/>
        </w:rPr>
        <w:t xml:space="preserve">Информация о моделях кассовых суммирующих аппаратов, разрешенных к использованию на территории Республики Беларусь (далее – кассовые аппараты), содержится в </w:t>
      </w:r>
      <w:hyperlink r:id="rId6" w:anchor="tabsRegistrySksksaCashModels" w:history="1">
        <w:r w:rsidRPr="00156A06">
          <w:rPr>
            <w:rFonts w:eastAsia="Times New Roman"/>
            <w:color w:val="0000FF"/>
            <w:sz w:val="28"/>
            <w:szCs w:val="28"/>
            <w:u w:val="single"/>
          </w:rPr>
          <w:t>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 на официальном сайте Государственного комитета по стандартизации Республики Беларусь.</w:t>
        </w:r>
      </w:hyperlink>
    </w:p>
    <w:p w:rsidR="00156A06" w:rsidRPr="007162DA" w:rsidRDefault="00A63F75" w:rsidP="007162DA">
      <w:pPr>
        <w:ind w:firstLine="0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="00156A06" w:rsidRPr="00156A06">
        <w:rPr>
          <w:rFonts w:eastAsia="Times New Roman"/>
          <w:sz w:val="28"/>
          <w:szCs w:val="28"/>
        </w:rPr>
        <w:t xml:space="preserve"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</w:t>
      </w:r>
      <w:hyperlink r:id="rId7" w:history="1">
        <w:r w:rsidR="00156A06" w:rsidRPr="00156A06">
          <w:rPr>
            <w:rFonts w:eastAsia="Times New Roman"/>
            <w:color w:val="0000FF"/>
            <w:sz w:val="28"/>
            <w:szCs w:val="28"/>
            <w:u w:val="single"/>
          </w:rPr>
          <w:t>официальном сайте РУП ИИЦ</w:t>
        </w:r>
      </w:hyperlink>
      <w:r w:rsidR="00156A06" w:rsidRPr="00156A06">
        <w:rPr>
          <w:rFonts w:eastAsia="Times New Roman"/>
          <w:sz w:val="28"/>
          <w:szCs w:val="28"/>
        </w:rPr>
        <w:br/>
        <w:t>При этом субъектам хозяйствования до подачи заявки в РУП ИИЦ на подключение конкретной единицы кассового оборудования к СККО, необходимо:</w:t>
      </w:r>
    </w:p>
    <w:p w:rsidR="00156A06" w:rsidRPr="00156A06" w:rsidRDefault="00156A06" w:rsidP="00156A0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>намеревающимся использовать кассовый аппарат – заключить договор с центром технического обслуживания и ремонта кассовых аппаратов на техническое обслуживание и ремонт кассового аппарата (далее – договор с ЦТО);</w:t>
      </w:r>
    </w:p>
    <w:p w:rsidR="00156A06" w:rsidRPr="00156A06" w:rsidRDefault="00156A06" w:rsidP="00156A0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>намеревающимся использовать программную кассу – заключить договор с оператором программной кассовой системы (далее – договор с оператором).</w:t>
      </w:r>
    </w:p>
    <w:p w:rsidR="00156A06" w:rsidRPr="00156A06" w:rsidRDefault="00156A06" w:rsidP="00A63F75">
      <w:pPr>
        <w:spacing w:before="100" w:beforeAutospacing="1" w:after="100" w:afterAutospacing="1"/>
        <w:ind w:firstLine="708"/>
        <w:rPr>
          <w:rFonts w:eastAsia="Times New Roman"/>
          <w:sz w:val="28"/>
          <w:szCs w:val="28"/>
        </w:rPr>
      </w:pPr>
      <w:r w:rsidRPr="00156A06">
        <w:rPr>
          <w:rFonts w:eastAsia="Times New Roman"/>
          <w:sz w:val="28"/>
          <w:szCs w:val="28"/>
        </w:rPr>
        <w:t>При наличии у субъекта хозяйствования кассового оборудования и договора с ЦТО или (и) договора с оператором, такой субъект хозяйствования должен в рамках заключенного с РУП ИИЦ договора подать в РУП ИИЦ заявку на подключение конкретной единицы кассового оборудования к СККО.</w:t>
      </w:r>
      <w:r w:rsidR="00A63F75">
        <w:rPr>
          <w:rFonts w:eastAsia="Times New Roman"/>
          <w:sz w:val="28"/>
          <w:szCs w:val="28"/>
        </w:rPr>
        <w:t xml:space="preserve">  </w:t>
      </w:r>
      <w:r w:rsidRPr="00156A06">
        <w:rPr>
          <w:rFonts w:eastAsia="Times New Roman"/>
          <w:sz w:val="28"/>
          <w:szCs w:val="28"/>
        </w:rPr>
        <w:t xml:space="preserve">При подключении РУП ИИЦ кассового оборудования указанных субъектов хозяйствования в рамках заключенного договора и поданных заявок к СККО, такие субъекты хозяйствования с даты подключения </w:t>
      </w:r>
      <w:r w:rsidRPr="00156A06">
        <w:rPr>
          <w:rFonts w:eastAsia="Times New Roman"/>
          <w:b/>
          <w:bCs/>
          <w:sz w:val="28"/>
          <w:szCs w:val="28"/>
        </w:rPr>
        <w:t>обязаны использовать кассовое оборудование.</w:t>
      </w:r>
      <w:r w:rsidRPr="00156A06">
        <w:rPr>
          <w:rFonts w:eastAsia="Times New Roman"/>
          <w:sz w:val="28"/>
          <w:szCs w:val="28"/>
        </w:rPr>
        <w:t xml:space="preserve"> </w:t>
      </w:r>
    </w:p>
    <w:p w:rsidR="0043254A" w:rsidRDefault="0043254A" w:rsidP="0043254A">
      <w:pPr>
        <w:spacing w:line="240" w:lineRule="exact"/>
        <w:ind w:left="4956"/>
        <w:jc w:val="right"/>
        <w:rPr>
          <w:i/>
          <w:sz w:val="24"/>
          <w:szCs w:val="24"/>
        </w:rPr>
      </w:pPr>
    </w:p>
    <w:p w:rsidR="0043254A" w:rsidRDefault="0043254A" w:rsidP="0043254A">
      <w:pPr>
        <w:spacing w:line="240" w:lineRule="exact"/>
        <w:ind w:left="495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Сектор информационно-разъяснительной работы инспекции МНС по Оршанскому району</w:t>
      </w:r>
    </w:p>
    <w:p w:rsidR="00EE0C4F" w:rsidRDefault="0043254A"/>
    <w:sectPr w:rsidR="00EE0C4F" w:rsidSect="00156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C66"/>
    <w:multiLevelType w:val="multilevel"/>
    <w:tmpl w:val="996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70FC3"/>
    <w:multiLevelType w:val="multilevel"/>
    <w:tmpl w:val="D55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56A06"/>
    <w:rsid w:val="00156A06"/>
    <w:rsid w:val="00194311"/>
    <w:rsid w:val="00402F0E"/>
    <w:rsid w:val="0043254A"/>
    <w:rsid w:val="0051799D"/>
    <w:rsid w:val="00693A07"/>
    <w:rsid w:val="006B38FF"/>
    <w:rsid w:val="007162DA"/>
    <w:rsid w:val="00810EE1"/>
    <w:rsid w:val="00A63F75"/>
    <w:rsid w:val="00D31DE9"/>
    <w:rsid w:val="00F31B8E"/>
    <w:rsid w:val="00FA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9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31DE9"/>
    <w:pPr>
      <w:keepNext/>
      <w:ind w:firstLine="720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D31DE9"/>
    <w:pPr>
      <w:keepNext/>
      <w:ind w:firstLine="720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D31DE9"/>
    <w:pPr>
      <w:keepNext/>
      <w:ind w:firstLine="720"/>
      <w:outlineLvl w:val="2"/>
    </w:pPr>
    <w:rPr>
      <w:rFonts w:eastAsia="Times New Roman"/>
      <w:b/>
      <w:sz w:val="32"/>
    </w:rPr>
  </w:style>
  <w:style w:type="paragraph" w:styleId="4">
    <w:name w:val="heading 4"/>
    <w:basedOn w:val="a"/>
    <w:next w:val="a"/>
    <w:link w:val="40"/>
    <w:qFormat/>
    <w:rsid w:val="00D31DE9"/>
    <w:pPr>
      <w:keepNext/>
      <w:ind w:left="1560" w:firstLine="720"/>
      <w:outlineLvl w:val="3"/>
    </w:pPr>
    <w:rPr>
      <w:rFonts w:eastAsia="Times New Roman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E9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D31DE9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basedOn w:val="a0"/>
    <w:link w:val="3"/>
    <w:rsid w:val="00D31DE9"/>
    <w:rPr>
      <w:rFonts w:ascii="Times New Roman" w:eastAsia="Times New Roman" w:hAnsi="Times New Roman"/>
      <w:b/>
      <w:sz w:val="32"/>
    </w:rPr>
  </w:style>
  <w:style w:type="character" w:customStyle="1" w:styleId="40">
    <w:name w:val="Заголовок 4 Знак"/>
    <w:basedOn w:val="a0"/>
    <w:link w:val="4"/>
    <w:rsid w:val="00D31DE9"/>
    <w:rPr>
      <w:rFonts w:ascii="Times New Roman" w:eastAsia="Times New Roman" w:hAnsi="Times New Roman"/>
      <w:b/>
      <w:sz w:val="30"/>
    </w:rPr>
  </w:style>
  <w:style w:type="paragraph" w:styleId="a3">
    <w:name w:val="Title"/>
    <w:basedOn w:val="a"/>
    <w:link w:val="a4"/>
    <w:qFormat/>
    <w:rsid w:val="00D31DE9"/>
    <w:pPr>
      <w:tabs>
        <w:tab w:val="left" w:pos="4536"/>
        <w:tab w:val="left" w:pos="5670"/>
        <w:tab w:val="left" w:pos="6804"/>
        <w:tab w:val="left" w:pos="7938"/>
      </w:tabs>
      <w:jc w:val="center"/>
    </w:pPr>
    <w:rPr>
      <w:rFonts w:eastAsia="Times New Roman"/>
      <w:b/>
      <w:sz w:val="30"/>
      <w:szCs w:val="24"/>
    </w:rPr>
  </w:style>
  <w:style w:type="character" w:customStyle="1" w:styleId="a4">
    <w:name w:val="Название Знак"/>
    <w:basedOn w:val="a0"/>
    <w:link w:val="a3"/>
    <w:rsid w:val="00D31DE9"/>
    <w:rPr>
      <w:rFonts w:ascii="Times New Roman" w:eastAsia="Times New Roman" w:hAnsi="Times New Roman"/>
      <w:b/>
      <w:sz w:val="30"/>
      <w:szCs w:val="24"/>
    </w:rPr>
  </w:style>
  <w:style w:type="character" w:styleId="a5">
    <w:name w:val="Strong"/>
    <w:uiPriority w:val="22"/>
    <w:qFormat/>
    <w:rsid w:val="00D31DE9"/>
    <w:rPr>
      <w:b/>
      <w:bCs/>
    </w:rPr>
  </w:style>
  <w:style w:type="paragraph" w:styleId="a6">
    <w:name w:val="List Paragraph"/>
    <w:basedOn w:val="a"/>
    <w:uiPriority w:val="34"/>
    <w:qFormat/>
    <w:rsid w:val="00D31DE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31DE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156A0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56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istry.belgiss.by/index.php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3543E-06F9-4115-8F58-1F7BAE85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313_Tretyak_O_P</dc:creator>
  <cp:lastModifiedBy>313_Tretyak_O_P</cp:lastModifiedBy>
  <cp:revision>3</cp:revision>
  <cp:lastPrinted>2022-02-01T11:39:00Z</cp:lastPrinted>
  <dcterms:created xsi:type="dcterms:W3CDTF">2022-02-01T11:16:00Z</dcterms:created>
  <dcterms:modified xsi:type="dcterms:W3CDTF">2022-02-02T09:21:00Z</dcterms:modified>
</cp:coreProperties>
</file>